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Доклад «Индикаторы риска нарушения обязательных  требований» </w:t>
      </w:r>
      <w:r>
        <w:rPr>
          <w:rFonts w:ascii="Times New Roman" w:hAnsi="Times New Roman" w:cs="Times New Roman"/>
          <w:sz w:val="28"/>
          <w:szCs w:val="28"/>
        </w:rPr>
        <w:t xml:space="preserve">Забайкальское управление Ростехнадзора.</w:t>
      </w:r>
      <w:r>
        <w:rPr>
          <w:rFonts w:ascii="Times New Roman" w:hAnsi="Times New Roman" w:cs="Times New Roman"/>
          <w:sz w:val="28"/>
          <w:szCs w:val="28"/>
        </w:rPr>
        <w:t xml:space="preserve"> 30.07</w:t>
      </w:r>
      <w:r>
        <w:rPr>
          <w:rFonts w:ascii="Times New Roman" w:hAnsi="Times New Roman" w:cs="Times New Roman"/>
          <w:sz w:val="28"/>
          <w:szCs w:val="28"/>
        </w:rPr>
        <w:t xml:space="preserve">.2025.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Индикаторы риска.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jc w:val="center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highlight w:val="white"/>
        </w:rPr>
        <w:t xml:space="preserve">        </w:t>
      </w:r>
      <w:r>
        <w:rPr>
          <w:rFonts w:ascii="Times New Roman" w:hAnsi="Times New Roman" w:eastAsia="Times New Roman" w:cs="Times New Roman"/>
          <w:color w:val="000000"/>
          <w:sz w:val="24"/>
          <w:highlight w:val="white"/>
        </w:rPr>
        <w:t xml:space="preserve">Индикаторы риска представляют собой определенные признаки или сигналы, которые указывают на возможное нарушение законодательных требований на контролируемом объекте. Эти признаки могут быть различными и варьироваться в зависимости от специфики объекта и сф</w:t>
      </w:r>
      <w:r>
        <w:rPr>
          <w:rFonts w:ascii="Times New Roman" w:hAnsi="Times New Roman" w:eastAsia="Times New Roman" w:cs="Times New Roman"/>
          <w:color w:val="000000"/>
          <w:sz w:val="24"/>
          <w:highlight w:val="white"/>
        </w:rPr>
        <w:t xml:space="preserve">еры его деятельности. Однако, их общая цель состоит в том, чтобы предупреждать о возможных проблемах. Когда такие индикаторы обнаруживаются, могут быть назначены внеплановые проверки Ростехнадзора с целью выявления и устранения возможных нарушений и обеспе</w:t>
      </w:r>
      <w:r>
        <w:rPr>
          <w:rFonts w:ascii="Times New Roman" w:hAnsi="Times New Roman" w:eastAsia="Times New Roman" w:cs="Times New Roman"/>
          <w:color w:val="000000"/>
          <w:sz w:val="24"/>
          <w:highlight w:val="white"/>
        </w:rPr>
        <w:t xml:space="preserve">чения соблюдения требований законодательства. 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jc w:val="both"/>
        <w:spacing w:before="0" w:after="0"/>
        <w:rPr>
          <w:bCs w:val="0"/>
          <w:i w:val="0"/>
        </w:rPr>
      </w:pPr>
      <w:r>
        <w:rPr>
          <w:rFonts w:ascii="Times New Roman" w:hAnsi="Times New Roman" w:cs="Arial"/>
          <w:i w:val="0"/>
          <w:iCs w:val="0"/>
          <w:lang w:val="ru-RU"/>
          <w14:textFill>
            <w14:solidFill>
              <w14:prstClr w14:val="black"/>
            </w14:solidFill>
          </w14:textFill>
        </w:rPr>
        <w:t xml:space="preserve">        В период  6-ти месяцев 2025 года  проведение внеплановых контрольных (надзорных) мероприятий при выявлении индикаторов риска нарушения обязательных требований допускалось в отношении объектов:</w:t>
      </w:r>
      <w:r>
        <w:rPr>
          <w:i w:val="0"/>
          <w:iCs w:val="0"/>
        </w:rPr>
      </w:r>
      <w:r>
        <w:rPr>
          <w:i w:val="0"/>
          <w:iCs w:val="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Arial"/>
          <w:i w:val="0"/>
          <w:iCs w:val="0"/>
          <w:lang w:val="ru-RU"/>
          <w14:textFill>
            <w14:solidFill>
              <w14:prstClr w14:val="black"/>
            </w14:solidFill>
          </w14:textFill>
        </w:rPr>
        <w:t xml:space="preserve">чрезвычайно высокого и высокого рисков, опасных производственных объектов I и II классов опасности, гидротехнических сооружений I и II классов, </w:t>
      </w:r>
      <w:r>
        <w:rPr>
          <w:rFonts w:ascii="Times New Roman" w:hAnsi="Times New Roman" w:cs="Arial"/>
          <w:i w:val="0"/>
          <w:iCs w:val="0"/>
          <w:u w:val="single"/>
          <w:lang w:val="ru-RU"/>
          <w14:textFill>
            <w14:solidFill>
              <w14:prstClr w14:val="black"/>
            </w14:solidFill>
          </w14:textFill>
        </w:rPr>
        <w:t xml:space="preserve">или индикаторов риска, влекущих непосредственную угрозу причинения вреда жизни и тяжкого вреда здоровью граждан.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Федеральный государственный строительный надзор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ind w:left="0" w:right="0" w:firstLine="0"/>
        <w:jc w:val="both"/>
        <w:spacing w:before="0" w:line="375" w:lineRule="atLeast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Согласно Приказа Минстроя РФ от 13.12.2024 N 860/ПР, индикаторам риска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нарушения обязательных требований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являются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ind w:left="0" w:right="0" w:firstLine="540"/>
        <w:jc w:val="both"/>
        <w:spacing w:before="168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1. Наличие на земельном участке, на котором планируется осуществить строительство, реконструкцию объекта капитального строительства, указанного в </w:t>
      </w:r>
      <w:hyperlink r:id="rId9" w:tooltip="https://login.consultant.ru/link/?req=doc&amp;base=LAW&amp;n=508514&amp;dst=3618&amp;field=134&amp;date=16.07.2025" w:history="1">
        <w:r>
          <w:rPr>
            <w:rStyle w:val="815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части 8 статьи 54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Градостроительного кодекса Российской Федерации (далее - Кодекс), работающей строительной техники для производства сваебойных, свайных работ или работающей стационарной и (или) передвижной строительной техники для изготовления и применения бетонных смесей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, или работающих подъемных сооружений (башенных кранов и (или) самоходных кранов и (или) кранов-трубоукладчиков) при отсутствии направленного застройщиком или техническим заказчиком в соответствии с </w:t>
      </w:r>
      <w:hyperlink r:id="rId10" w:tooltip="https://login.consultant.ru/link/?req=doc&amp;base=LAW&amp;n=508514&amp;dst=4576&amp;field=134&amp;date=16.07.2025" w:history="1">
        <w:r>
          <w:rPr>
            <w:rStyle w:val="815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частью 5 статьи 52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Кодекса извещения о начале работ по строительству, реконструкции объекта капитального строительства (далее - извещение о начале работ).</w:t>
        <w:br/>
      </w:r>
      <w:r>
        <w:rPr>
          <w:color w:val="000000" w:themeColor="text1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2. Непоступление от застройщика или технического заказчика в федеральный орган исполнительной власти, уполномоченный на осуществление федерального государственного строительного надзора (далее - уполномоченный орган) &lt;1&gt;, извещения о начале работ в течение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90 календарных дней со дня получения копии разрешения на строительство, направленной в соответствии с </w:t>
      </w:r>
      <w:hyperlink r:id="rId11" w:tooltip="https://login.consultant.ru/link/?req=doc&amp;base=LAW&amp;n=508514&amp;dst=4549&amp;field=134&amp;date=16.07.2025" w:history="1">
        <w:r>
          <w:rPr>
            <w:rStyle w:val="815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частью 15 статьи 51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Кодекса.</w:t>
      </w:r>
      <w:r>
        <w:rPr>
          <w:color w:val="000000" w:themeColor="text1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3. Получение уполномоченным органом от застройщика, технического заказчика, лица, осуществляющего строительство, реконструкцию объекта капитального строительства (далее - контролируемое лицо), извещения об изменении сроков наступления события, которое явля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ется основанием для проведения контрольного (надзорного) мероприятия, предусмотренного программой проверок &lt;2&gt;, по причине прекращения или приостановления контролируемым лицом работ по строительству, реконструкции объекта капитального строительства на пери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од более чем шесть месяцев с даты поступления указанного извещения.</w:t>
      </w:r>
      <w:r>
        <w:rPr>
          <w:color w:val="000000" w:themeColor="text1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4. Поступление в уполномоченный орган двух или более извещений об изменении сроков наступления события, которое является основанием для проведения контрольного (надзорного) мероприятия, предусмотренного программой проверок, от контролируемого лица, в течен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ие календарного года.</w:t>
      </w:r>
      <w:r>
        <w:rPr>
          <w:color w:val="000000" w:themeColor="text1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5. Наличие у уполномоченного органа информации о неполучении застройщиком разрешения на ввод объекта в эксплуатацию по истечении 120 календарных дней со дня выдачи застройщику, техническому заказчику заключения о соответствии построенного, реконструированн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ого объекта капитального строительства указанным в </w:t>
      </w:r>
      <w:hyperlink r:id="rId12" w:tooltip="https://login.consultant.ru/link/?req=doc&amp;base=LAW&amp;n=508514&amp;dst=2910&amp;field=134&amp;date=16.07.2025" w:history="1">
        <w:r>
          <w:rPr>
            <w:rStyle w:val="815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пункте 1 части 5 статьи 49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Кодекса требованиям проектной документации (в том числе с учетом изменений, внесенных в рабочую документацию и являющихся в соответствии с </w:t>
      </w:r>
      <w:hyperlink r:id="rId13" w:tooltip="https://login.consultant.ru/link/?req=doc&amp;base=LAW&amp;n=508514&amp;dst=3613&amp;field=134&amp;date=16.07.2025" w:history="1">
        <w:r>
          <w:rPr>
            <w:rStyle w:val="815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частью 1.3 статьи 52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Кодекса частью такой проектной документации) и (или) информационной модели объекта капитального строительства (далее - информационная модель) (в случае, если формирование и ведение информационной модели являются обязательными в соответствии с требованиями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</w:t>
      </w:r>
      <w:hyperlink r:id="rId14" w:tooltip="https://login.consultant.ru/link/?req=doc&amp;base=LAW&amp;n=508514&amp;date=16.07.2025" w:history="1">
        <w:r>
          <w:rPr>
            <w:rStyle w:val="815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Кодекса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).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6. Истечение срока временной эксплуатации линейных объектов инфраструктуры в соответствии с </w:t>
      </w:r>
      <w:hyperlink r:id="rId15" w:tooltip="https://login.consultant.ru/link/?req=doc&amp;base=LAW&amp;n=482721&amp;dst=100030&amp;field=134&amp;date=16.07.2025" w:history="1">
        <w:r>
          <w:rPr>
            <w:rStyle w:val="815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частью 9 статьи 3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Федерального закона от 31 июля 2020 г. N 254-ФЗ "Об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рации" &lt;3&gt;, установленного решением комиссии, определяющей техническую готовность линейного объекта инфраструктуры к временной эксплуатации в соответствии с </w:t>
      </w:r>
      <w:hyperlink r:id="rId16" w:tooltip="https://login.consultant.ru/link/?req=doc&amp;base=LAW&amp;n=493159&amp;dst=100011&amp;field=134&amp;date=16.07.2025" w:history="1">
        <w:r>
          <w:rPr>
            <w:rStyle w:val="815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пунктом 1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Правил формирования и функционирования комиссии, определяющей техническую готовность линейного объекта инфраструктуры к временной эксплуатации, утвержденных постановлением Правительства Российской Федерации от 9 декабря 2020 г. N 2057 &lt;4&gt;, до дня получени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я застройщиком, техническим заказчиком заключения, указанного в </w:t>
      </w:r>
      <w:hyperlink r:id="rId17" w:tooltip="file:///C:/Program%20Files/R7-Office/Editors/editors/web-apps/apps/documenteditor/main/index.html?_dc=0&amp;lang=ru-RU&amp;frameEditorId=placeholder&amp;parentOrigin=file://#p19" w:history="1">
        <w:r>
          <w:rPr>
            <w:rStyle w:val="815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пункте 5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настоящего перечня.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/>
      <w:r>
        <w:rPr>
          <w:color w:val="000000" w:themeColor="text1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7. Непоступление в уполномоченный орган извещения о начале работ в отношении указанных в </w:t>
      </w:r>
      <w:hyperlink r:id="rId18" w:tooltip="https://login.consultant.ru/link/?req=doc&amp;base=LAW&amp;n=508514&amp;dst=3618&amp;field=134&amp;date=16.07.2025" w:history="1">
        <w:r>
          <w:rPr>
            <w:rStyle w:val="815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части 8 статьи 54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Кодекса объектов капитального строительства по истечении 120 календарных дней со дня размещения в Едином государственном реестре заключений экспертизы проектной документации объектов капитального строительства в соответствии с </w:t>
      </w:r>
      <w:hyperlink r:id="rId19" w:tooltip="https://login.consultant.ru/link/?req=doc&amp;base=LAW&amp;n=508514&amp;dst=2521&amp;field=134&amp;date=16.07.2025" w:history="1">
        <w:r>
          <w:rPr>
            <w:rStyle w:val="815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пунктом 1 части 1 статьи 50.1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Кодекса сведений о положительном заключении экспертизы проектной документации и (или) результатов инженерных изысканий.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8. Внесение четырех или более изменений в соответствии с </w:t>
      </w:r>
      <w:hyperlink r:id="rId20" w:tooltip="https://login.consultant.ru/link/?req=doc&amp;base=LAW&amp;n=508514&amp;dst=3054&amp;field=134&amp;date=16.07.2025" w:history="1">
        <w:r>
          <w:rPr>
            <w:rStyle w:val="815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частью 3.8 статьи 49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Кодекса в проектную документацию строящегося, реконструируемого объекта капитального строительства, получившую положительное заключение государственной экспертизы проектной документации, в течение календарного года.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9. Размещение два и более раза в течение календарного года в реестре членов саморегулируемой организации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ого строительства в соответствии со </w:t>
      </w:r>
      <w:hyperlink r:id="rId21" w:tooltip="https://login.consultant.ru/link/?req=doc&amp;base=LAW&amp;n=389306&amp;dst=35&amp;field=134&amp;date=16.07.2025" w:history="1">
        <w:r>
          <w:rPr>
            <w:rStyle w:val="815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статьей 7.1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Федерального закона от 1 декабря 2007 г. N 315-ФЗ "О саморегулируемых организациях" (далее - Федеральный закон N 315-ФЗ) сведений о применении мер дисциплинарного воздействия, предусмотренных </w:t>
      </w:r>
      <w:hyperlink r:id="rId22" w:tooltip="https://login.consultant.ru/link/?req=doc&amp;base=LAW&amp;n=389306&amp;dst=100103&amp;field=134&amp;date=16.07.2025" w:history="1">
        <w:r>
          <w:rPr>
            <w:rStyle w:val="815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пунктами 1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- </w:t>
      </w:r>
      <w:hyperlink r:id="rId23" w:tooltip="https://login.consultant.ru/link/?req=doc&amp;base=LAW&amp;n=389306&amp;dst=100105&amp;field=134&amp;date=16.07.2025" w:history="1">
        <w:r>
          <w:rPr>
            <w:rStyle w:val="815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3 части 4 статьи 10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Федерального закона N 315-ФЗ, в отношении члена саморегулируемой организации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или разме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щение в течение календарного года в указанном реестре сведений о применении мер дисциплинарного воздействия, предусмотренных </w:t>
      </w:r>
      <w:hyperlink r:id="rId24" w:tooltip="https://login.consultant.ru/link/?req=doc&amp;base=LAW&amp;n=389306&amp;dst=100106&amp;field=134&amp;date=16.07.2025" w:history="1">
        <w:r>
          <w:rPr>
            <w:rStyle w:val="815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пунктами 4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, </w:t>
      </w:r>
      <w:hyperlink r:id="rId25" w:tooltip="https://login.consultant.ru/link/?req=doc&amp;base=LAW&amp;n=389306&amp;dst=100107&amp;field=134&amp;date=16.07.2025" w:history="1">
        <w:r>
          <w:rPr>
            <w:rStyle w:val="815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5 части 4 статьи 10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Федерального закона N 315-ФЗ, в том числе приостановление права выполнять строительство, реконструкцию, снос объектов капитального строительства, за исключением решений о применении мер дисциплинарного воздействия, которые отменены в судебном порядке.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10. Осуществление в течение календарного года выплат из компенсационных фондов возмещения вреда или обеспечения договорных обязательств саморегулируемой организации в области строительства, реконструкции, капитального ремонта, сноса объектов капитального с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троительства по вине лица, являющегося членом такой саморегулируемой организации и осуществляющего строительство, реконструкцию объектов капитального строительства, указанных в </w:t>
      </w:r>
      <w:hyperlink r:id="rId26" w:tooltip="https://login.consultant.ru/link/?req=doc&amp;base=LAW&amp;n=508514&amp;dst=3618&amp;field=134&amp;date=16.07.2025" w:history="1">
        <w:r>
          <w:rPr>
            <w:rStyle w:val="815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части 8 статьи 54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Кодекса (при условии, что после осуществления выплат из компенсационных фондов возмещения вреда или обеспечения договорных обязательств саморегулируемой организации в отношении таких объектов не проводились контрольные (надзорные) мероприятия при наступле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нии события, указанного в программе проверок, и (или) в целях принятия решения о создании или об отказе в создании технической комиссии по установлению причин нарушения законодательства о градостроительной деятельности).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/>
    </w:p>
    <w:p>
      <w:pPr>
        <w:ind w:left="0" w:right="0" w:firstLine="0"/>
        <w:spacing w:before="0" w:after="0"/>
        <w:shd w:val="clear" w:color="ffffff" w:fill="ffffff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</w:r>
      <w:hyperlink r:id="rId27" w:tooltip="https://kontur-event.ru/lp/extern-conf-buh-2025?utm_source=normativ&amp;utm_medium=banner_service_normativ&amp;utm_campaign=kbzhz24&amp;utm_content=doc" w:history="1">
        <w:r>
          <w:rPr>
            <w:rStyle w:val="815"/>
            <w:rFonts w:ascii="Times New Roman" w:hAnsi="Times New Roman" w:eastAsia="Times New Roman" w:cs="Times New Roman"/>
            <w:sz w:val="24"/>
            <w:szCs w:val="24"/>
          </w:rPr>
          <w:br/>
        </w:r>
      </w:hyperlink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Федеральный государственный энергетический надзор. 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приказу Минэнерго России от 30.12.2021 № 1540, индикаторами риска нарушения обязательных требований по федеральному государственному энергетическому надзору являются: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1. Индикатором риска нарушения обязательных требований по федеральному государственному энергетическому надзору за деятельностью потребителей электрической энергии, теплоснабжающих организаций, теплосетевых организаций является установление комиссией по пр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оведению технического освидетельствования (далее - комиссия) значения индекса технического состояния объекта технического освидетельствования от "0" до "26" включительно или принятие комиссией решения о допуске к работе объекта технического освидетельствов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ания при проведении соответствующих технических мероприятий либо о прекращении эксплуатации в результате проведения технического освидетельствования в соответствии с </w:t>
      </w:r>
      <w:hyperlink r:id="rId28" w:tooltip="https://login.consultant.ru/link/?req=doc&amp;base=LAW&amp;n=329233&amp;dst=100010&amp;field=134&amp;date=16.07.2025" w:history="1">
        <w:r>
          <w:rPr>
            <w:rStyle w:val="815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Правилами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проведения технического освидетельствования оборудования, зданий и сооружений объектов электроэнергетики, утвержденными приказом Минэнерго России от 14 мая 2019 г. N 465 (зарегистрирован Минюстом России 16 июля 2019 г., регистрационный номер N 55283) (дал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ее - Правила технического освидетельствования), и </w:t>
      </w:r>
      <w:hyperlink r:id="rId29" w:tooltip="https://login.consultant.ru/link/?req=doc&amp;base=LAW&amp;n=41812&amp;dst=100011&amp;field=134&amp;date=16.07.2025" w:history="1">
        <w:r>
          <w:rPr>
            <w:rStyle w:val="815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Правилами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технической эксплуатации тепловых энергоустановок, утвержденными приказом Минэнерго России от 24 марта 2003 г. N 115 (зарегистрирован Минюстом России 2 апреля 2003 г., регистрационный N 4358) (далее - Правила эксплуатации тепловых установок).</w:t>
        <w:br/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2. Индикаторами риска нарушения обязательных требований по федеральному государственному энергетическому надзору за деятельностью субъектов электроэнергетики являются: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2.1. Достижение основным технологическим оборудованием и линиями электропередачи электрических станций и электрических сетей значения индекса технического состояния равного или ниже "25", рассчитываемого в соответствии с </w:t>
      </w:r>
      <w:hyperlink r:id="rId30" w:tooltip="https://login.consultant.ru/link/?req=doc&amp;base=LAW&amp;n=353238&amp;dst=100009&amp;field=134&amp;date=16.07.2025" w:history="1">
        <w:r>
          <w:rPr>
            <w:rStyle w:val="815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Методикой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оценки технического состояния основного технологического оборудования и линий электропередачи электрических станций и электрических сетей, утвержденной приказом Минэнерго России от 26 июля 2017 г. N 676 (зарегистрирован Минюстом России 5 октября 2017 г.,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регистрационный N 48429), с изменениями, внесенными приказом Минэнерго России от 17 марта 2020 г. N 192 (зарегистрирован Минюстом России 18 мая 2020 г., регистрационный N 58367) (далее - Методика оценки состояния).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2.2. Установление комиссией значения индекса технического состояния объекта технического освидетельствования от "0" до "26" включительно или принятие комиссией решения о допуске к работе объекта технического освидетельствования при проведении соответствующ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их технических мероприятий либо о прекращении эксплуатации в результате проведения технического освидетельствования в соответствии с </w:t>
      </w:r>
      <w:hyperlink r:id="rId31" w:tooltip="https://login.consultant.ru/link/?req=doc&amp;base=LAW&amp;n=329233&amp;dst=100010&amp;field=134&amp;date=16.07.2025" w:history="1">
        <w:r>
          <w:rPr>
            <w:rStyle w:val="815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Правилами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технического освидетельствования и </w:t>
      </w:r>
      <w:hyperlink r:id="rId32" w:tooltip="https://login.consultant.ru/link/?req=doc&amp;base=LAW&amp;n=41812&amp;dst=100011&amp;field=134&amp;date=16.07.2025" w:history="1">
        <w:r>
          <w:rPr>
            <w:rStyle w:val="815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Правилами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эксплуатации тепловых установок, за исключением случаев технического освидетельствования объектов технического освидетельствования, в отношении которых проводится оценка их технического состояния в соответствии с </w:t>
      </w:r>
      <w:hyperlink r:id="rId33" w:tooltip="https://login.consultant.ru/link/?req=doc&amp;base=LAW&amp;n=353238&amp;dst=100009&amp;field=134&amp;date=16.07.2025" w:history="1">
        <w:r>
          <w:rPr>
            <w:rStyle w:val="815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Методикой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оценки состояния.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2.3. Установление Минэнерго России в ходе осуществления мониторинга риска нарушения работы субъектов электроэнергетики в сфере электроэнергетики в соответствии с </w:t>
      </w:r>
      <w:hyperlink r:id="rId34" w:tooltip="https://login.consultant.ru/link/?req=doc&amp;base=LAW&amp;n=495459&amp;dst=47&amp;field=134&amp;date=16.07.2025" w:history="1">
        <w:r>
          <w:rPr>
            <w:rStyle w:val="815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разделом II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Правил оценки готовности субъектов электроэнергетики к работе в отопительный сезон и проведения мониторинга риска нарушения работы субъектов электроэнергетики в сфере электроэнергетики, утвержденных постановлением Правительства Российской Федерации от 10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мая 2017 г. N 543 (далее - Правила N 543), в отношении субъекта электроэнергетики в течение шести отчетных месяцев подряд двух и более раз следующих показателей в совокупности в отношении одного из объектов оценки готовности, предусмотренных </w:t>
      </w:r>
      <w:hyperlink r:id="rId35" w:tooltip="https://login.consultant.ru/link/?req=doc&amp;base=LAW&amp;n=500388&amp;dst=1756&amp;field=134&amp;date=16.07.2025" w:history="1">
        <w:r>
          <w:rPr>
            <w:rStyle w:val="815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пунктом 1.4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методики проведения оценки готовности субъектов электроэнергетики к работе в отопительный сезон, утвержденной приказом Минэнерго России от 27 декабря 2017 г. N 1233 &lt;2&gt; (далее - Методика):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значение индекса готовности, рассчитанное в соответствии с </w:t>
      </w:r>
      <w:hyperlink r:id="rId36" w:tooltip="https://login.consultant.ru/link/?req=doc&amp;base=LAW&amp;n=500388&amp;dst=100009&amp;field=134&amp;date=16.07.2025" w:history="1">
        <w:r>
          <w:rPr>
            <w:rStyle w:val="815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Методикой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, объекта оценки готовности субъекта электроэнергетики, указанного в </w:t>
      </w:r>
      <w:hyperlink r:id="rId37" w:tooltip="https://login.consultant.ru/link/?req=doc&amp;base=LAW&amp;n=500388&amp;dst=1756&amp;field=134&amp;date=16.07.2025" w:history="1">
        <w:r>
          <w:rPr>
            <w:rStyle w:val="815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пункте 1.4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Методики, менее "80" (далее - объекты оценки готовности с уровнем готовности "Не готов");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достижение объектом оценки готовности с уровнем готовности "Не готов" установленной величины одного и более предусмотренных </w:t>
      </w:r>
      <w:hyperlink r:id="rId38" w:tooltip="https://login.consultant.ru/link/?req=doc&amp;base=LAW&amp;n=500388&amp;dst=1756&amp;field=134&amp;date=16.07.2025" w:history="1">
        <w:r>
          <w:rPr>
            <w:rStyle w:val="815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Методикой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специализированных индикаторов в группах условий готовности объектов оценки готовности, оценка выполнения которых в соответствии с </w:t>
      </w:r>
      <w:hyperlink r:id="rId39" w:tooltip="https://login.consultant.ru/link/?req=doc&amp;base=LAW&amp;n=500388&amp;dst=1790&amp;field=134&amp;date=16.07.2025" w:history="1">
        <w:r>
          <w:rPr>
            <w:rStyle w:val="815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пунктом 2.6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Методики составила менее "100";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2.4. Установление Минэнерго России в ходе осуществления мониторинга риска нарушения работы субъектов электроэнергетики в сфере электроэнергетики в соответствии с </w:t>
      </w:r>
      <w:hyperlink r:id="rId40" w:tooltip="https://login.consultant.ru/link/?req=doc&amp;base=LAW&amp;n=495459&amp;dst=47&amp;field=134&amp;date=16.07.2025" w:history="1">
        <w:r>
          <w:rPr>
            <w:rStyle w:val="815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разделом II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Правил N 543 в отношении территориальной сетевой организации в течение шести отчетных месяцев подряд значения индекса надежного функционирования менее "85" (уровень риска "Высокий"), рассчитанного в соответствии с </w:t>
      </w:r>
      <w:hyperlink r:id="rId41" w:tooltip="https://login.consultant.ru/link/?req=doc&amp;base=LAW&amp;n=500388&amp;dst=100009&amp;field=134&amp;date=16.07.2025" w:history="1">
        <w:r>
          <w:rPr>
            <w:rStyle w:val="815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Методикой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2.5. Увеличение на 30% и более за отчетный квартал текущего календарного года по сравнению с аналогичным периодом предыдущего календарного года количества аварий на электростанции или на объекте электросетевого хозяйства, расследуемых в соответствии с </w:t>
      </w:r>
      <w:hyperlink r:id="rId42" w:tooltip="https://login.consultant.ru/link/?req=doc&amp;base=LAW&amp;n=217471&amp;dst=100155&amp;field=134&amp;date=16.07.2025" w:history="1">
        <w:r>
          <w:rPr>
            <w:rStyle w:val="815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пунктом 5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Правил расследования причин аварий в электроэнергетике, утвержденных постановлением Правительства Российской Федерации от 28 октября 2009 г. N 846, за исключением аварий, произошедших в результате обстоятельств непреодолимой силы либо сверхрасчетных приро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дно-климатических нагрузок (условий) или вследствие иных обстоятельств, исключающих ответственность собственника или иного законного владельца объекта электроэнергетики (при условии, что указанное увеличение на 30% и более соответствует увеличению количест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ва таких аварий на пять или более).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2.6. Увеличение на 30% и более за отчетный квартал текущего календарного года по сравнению с аналогичным периодом предыдущего календарного года аварийных ситуаций на объекте теплоснабжения, расследуемых в соответствии с </w:t>
      </w:r>
      <w:hyperlink r:id="rId43" w:tooltip="https://login.consultant.ru/link/?req=doc&amp;base=LAW&amp;n=497358&amp;dst=100023&amp;field=134&amp;date=16.07.2025" w:history="1">
        <w:r>
          <w:rPr>
            <w:rStyle w:val="815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пунктом 4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Правил расследования причин аварийных ситуаций при теплоснабжении, утвержденных постановлением Правительства Российской Федерации от 2 июня 2022 г. N 1014, не связанных с нарушением обязательных требований и произошедших вследствие ошибочных или неправиль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ных действий (или бездействия) персонала, неудовлетворительного качества производственных и должностных инструкций, дефектов (недостатков) проекта, конструкций, изготовления, монтажа, невыявленных или неклассифицированных причин, за исключением воздействия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стихийных явлений или воздействия посторонних организаций, не участвующих в технологическом процессе, либо обеспечивающих его (при условии, что указанное увеличение на 30% и более соответствует увеличению количества таких аварийных ситуаций на пять или бо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лее).</w:t>
      </w:r>
      <w:r/>
    </w:p>
    <w:p>
      <w:pPr>
        <w:ind w:left="-142" w:right="0" w:firstLine="502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едеральн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ый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государственн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ый надзор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 области промышленной безопасности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индикат</w:t>
      </w:r>
      <w:r>
        <w:rPr>
          <w:rFonts w:ascii="Times New Roman" w:hAnsi="Times New Roman" w:cs="Times New Roman"/>
          <w:sz w:val="24"/>
          <w:szCs w:val="24"/>
        </w:rPr>
        <w:t xml:space="preserve">оров риска нарушения обязательных требований, используемых при осуществлении Федеральной службой по экологическому, технологическому и атомному надзору и её территориальными органами федерального государственного надзора в области промышленной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утвержден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приказом Федеральной службы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экологическому, технологическому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атомному надзору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от 23 ноября 2021 года N 397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bookmarkStart w:id="0" w:name="_GoBack"/>
      <w:r>
        <w:rPr>
          <w:sz w:val="24"/>
          <w:szCs w:val="24"/>
        </w:rPr>
      </w:r>
      <w:bookmarkEnd w:id="0"/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1. Поступление в территориальный орган Ростехнадзора информации о трех и более инцидентах, произошедших на опасном производственном объекте в течение одного календарного года, в соответствии с порядком проведения технического расследования причин аварий, у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становленным согласно </w:t>
      </w:r>
      <w:hyperlink r:id="rId44" w:tooltip="https://login.consultant.ru/link/?req=doc&amp;base=LAW&amp;n=483176&amp;dst=16&amp;field=134&amp;date=16.07.2025" w:history="1">
        <w:r>
          <w:rPr>
            <w:rStyle w:val="815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пункту 8 статьи 12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Федерального закона от 21 июля 1997 г. N 116-ФЗ "О промышленной безопасности опасных производственных объектов" (Собрание законодательства Российской Федерации, 1997, N 30, ст. 3588; 2004, N 35, ст. 3607).</w:t>
        <w:br/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2. Наличие в акте технического расследования причин аварии сведений о причинах аварии, связанных с нарушением требований промышленной безопасности на опасном производственном объекте, эксплуатируемом юридическим лицом (индивидуальным предпринимателем), в с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лучае если такое юридическое лицо (индивидуальный предприниматель), эксплуатирует опасные производственные объекты III, IV классов опасности , отнесенные к категории опасных производственных объектов по такому же признаку , как и объект, на котором п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роизошла авария (при условии, что в отношении таких объектов не проводились контрольные (надзорные) мероприятия в течение 2 лет до даты аварии).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3. Отсутствие в реестре лицензий сведений о лицензии юридического лица (индивидуального предпринимателя) на эксплуатацию взрывопожароопасных и химически опасных производственных объектов I, II и III классов опасности  в течение 4 месяцев с даты регистра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ции в государственном реестре опасных производственных объектов таким юридическим лицом (индивидуальным предпринимателем) опасного производственного объекта, деятельность по эксплуатации которого подлежит лицензированию.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4. Наличие сведений об опасном производственном объекте III, IV класса опасности в государственном реестре опасных производственных объектов по истечении 2 лет с даты внесения сведений в реестр заключений экспертизы промышленной безопасности об экспертизе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промышленной безопасности, проведенной в отношении документации на консервацию или ликвидацию такого объекта (при условии, что в отношении опасного производственного объекта не проводились контрольные (надзорные) мероприятия в течение 2 лет до даты внесени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я сведений об экспертизе в реестр заключений экспертизы промышленной безопасности).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5. Исключение сведений о юридическом лице (индивидуальном предпринимателе), эксплуатирующем опасный производственный объект III, IV класса опасности, сведения о котором содержатся в государственном реестре опасных производственных объектов, из единого госу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дарственного реестра юридических лиц (единого государственного реестра индивидуальных предпринимателей).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6. Отсутствие сведений о заключении экспертизы промышленной безопасности, содержащем срок дальнейшей безопасной эксплуатации технического устройства, применяемого на опасном производственном объекте III или IV класса опасности, или сведений о выводе из экс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плуатации такого технического устройства по истечении года после установленного срока его эксплуатации (при условии, что в течение указанного года в отношении таких объектов не проводились контрольные (надзорные) мероприятия).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7. Отсутствие сведений о заключении экспертизы промышленной безопасности, содержащем вывод о соответствии здания или сооружения на опасном производственном объекте III или IV класса опасности требованиям промышленной безопасности, либо сведений о выводе из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эксплуатации такого здания или сооружения по истечении года с даты внесения в реестр заключений экспертизы промышленной безопасности заключения, содержащего вывод о несоответствии такого здания или сооружения требованиям промышленной безопасности (при усл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овии, что в течение указанного года в отношении объектов не проводились контрольные (надзорные) мероприятия).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8. Факт выдачи экспертом в области промышленной безопасности заведомо ложного заключения экспертизы промышленной безопасности  в отношении объекта экспертизы заказчика, при наличии в реестре заключений экспертизы промышленной безопасности сведений о зак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лючении экспертизы промышленной безопасности, содержащем вывод о соответствии объекта экспертизы требованиям промышленной безопасности, выданном указанным экспертом в отношении иных объектов экспертизы этого заказчика в течение двух лет, предшествующих дат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е привлечения эксперта к административной ответственности (для опасных производственных объектов III или IV класса опасности, при условии, что в отношении таких объектов не проводились контрольные (надзорные) мероприятия после выдачи заключения экспертизы,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признанного заведомо ложным).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9. Непоступление в территориальный орган Ростехнадзора от юридического лица (индивидуального предпринимателя), эксплуатирующего опасный производственный объект III или IV класса опасности, заявления о внесении изменений в сведения об указанном объекте, сод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ержащиеся в государственном реестре опасных производственных объектов, по истечении двух лет с даты внесения в реестр заключений экспертизы промышленной безопасности заключения, содержащего вывод о соответствии документации на техническое перевооружение, с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вязанной с модернизацией или заменой технических устройств на указанных объектах, требованиям промышленной безопасности (при условии отсутствия информации о непроведении технического перевооружения на объекте).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10. Осуществление юридическим лицом деятельности по разработке, производству, испытанию, хранению, утилизации пиротехнических изделий IV и V классов на основании лицензии &lt;5&gt; (далее - деятельность, связанная с пиротехническими изделиями) при отсутствии у Р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остехнадзора (территориального органа Ростехнадзора) сведений о наличии у этого юридического лица в течение более 30 календарных дней со дня получения такой лицензии (внесения изменений в реестр лицензий) лицензии на эксплуатацию взрывопожароопасных и хими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чески опасных производственных объектов I, II, и III классов опасности, дающей право осуществления работ в рамках лицензируемого вида деятельности по адресу места осуществления лицензируемого вида деятельности, указанному в реестре лицензий, для деятельнос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ти, связанной с пиротехническими изделиями (при условии непоступления в течение указанного срока заявления о предоставлении лицензии на эксплуатацию взрывопожароопасных и химически опасных производственных объектов I, II, и III классов опасности или внесен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ии изменений в реестр лицензий в связи с дополнением сведениями о месте осуществления такого вида деятельности по адресу, указанному в реестре лицензий для деятельности, связанной с пиротехническими изделиями).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11. Непредставление юридическим лицом (индивидуальным предпринимателем), эксплуатирующим опасный производственный объект, документов, необходимых для его перерегистрации в соответствии со </w:t>
      </w:r>
      <w:hyperlink r:id="rId45" w:tooltip="https://login.consultant.ru/link/?req=doc&amp;base=LAW&amp;n=142907&amp;dst=100287&amp;field=134&amp;date=16.07.2025" w:history="1">
        <w:r>
          <w:rPr>
            <w:rStyle w:val="815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статьей 10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Федерального закона от 4 марта 2013 г. N 22-ФЗ "О внесении изменений в Федеральный закон "О промышленной безопасности опасных производственных объектов", отдельные законодательные акты Российской Федерации и о признании утратившим силу подпункта 114 пункт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а 1 статьи 333.33 части второй Налогового кодекса Российской Федерации".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</w:rPr>
      </w:r>
    </w:p>
    <w:p>
      <w:pPr>
        <w:ind w:left="0" w:right="0" w:firstLine="0"/>
        <w:jc w:val="both"/>
        <w:spacing w:before="0" w:after="0" w:line="240" w:lineRule="auto"/>
        <w:rPr>
          <w:b/>
          <w:bCs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u w:val="none"/>
        </w:rPr>
        <w:t xml:space="preserve">Федеральный государственный  надзор в области безопасности гидротехнических сооружений (за исключением портовых и судоходных гидротехнических сооружений)</w:t>
      </w:r>
      <w:r>
        <w:rPr>
          <w:b/>
          <w:bCs/>
          <w:szCs w:val="24"/>
          <w:u w:val="none"/>
        </w:rPr>
      </w:r>
      <w:r>
        <w:rPr>
          <w:b/>
          <w:bCs/>
          <w:szCs w:val="24"/>
          <w:u w:val="none"/>
        </w:rPr>
      </w:r>
    </w:p>
    <w:p>
      <w:pPr>
        <w:ind w:left="0" w:right="0" w:firstLine="0"/>
        <w:jc w:val="both"/>
        <w:spacing w:before="0" w:after="0" w:line="240" w:lineRule="auto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Приказ Ростехнадзора от 20.07.2023 N 268 "Об утверждении перечня индикаторов риска нарушения обязательных требований, используемых при осуществлении федерального государственного надзора в области безопасности гидротехнических сооружений (за исключением по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ртовых и судоходных гидротехнических сооружений)" </w:t>
      </w:r>
      <w:r>
        <w:rPr>
          <w:szCs w:val="24"/>
        </w:rPr>
      </w:r>
      <w:r>
        <w:rPr>
          <w:szCs w:val="24"/>
        </w:rPr>
      </w:r>
    </w:p>
    <w:p>
      <w:pPr>
        <w:ind w:left="0" w:right="0" w:firstLine="540"/>
        <w:jc w:val="both"/>
        <w:spacing w:before="0" w:after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1. Фиксация должностным лицом Ростехнадзора при рассмотрении декларации безопасности поднадзорного гидротехнического сооружения превышения по трем или более критериям безопасности гидротехнического сооружения, утверждаемым в составе декларации безопасности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гидротехнического сооружения в соответствии с </w:t>
      </w:r>
      <w:hyperlink r:id="rId46" w:tooltip="https://login.consultant.ru/link/?req=doc&amp;base=LAW&amp;n=470686&amp;dst=100028&amp;field=134&amp;date=17.02.2025" w:history="1">
        <w:r>
          <w:rPr>
            <w:rStyle w:val="815"/>
            <w:rFonts w:ascii="Times New Roman" w:hAnsi="Times New Roman" w:eastAsia="Times New Roman" w:cs="Times New Roman"/>
            <w:color w:val="0000ff"/>
            <w:sz w:val="24"/>
            <w:szCs w:val="24"/>
            <w:u w:val="none"/>
          </w:rPr>
          <w:t xml:space="preserve">подпунктом "г" пункта 6</w:t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Положения о декларировании безопасности гидротехнических сооружений, утвержденного постановлением Правительства Российской Федерации от 20 ноября 2020 г. N 1892 &lt;1&gt;, предельных значений количественных показателей состояния гидротехнического сооружения, со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ответствующих допустимому уровню риска аварии гидротехнического сооружения.</w:t>
        <w:br/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0" w:after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2. Фиксация должностным лицом Ростехнадзора на основании открытых данных о фактических уровнях воды в водохранилищах, образованных поднадзорными гидротехническими сооружениями, публикуемых на сайтах Федерального агентства водных ресурсов либо поднадзорных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организаций в информационно-телекоммуникационной сети "Интернет", превышения в течение более 30 дней подряд со дня его возникновения нормального подпорного уровня, установленного проектной документацией, на величину более тридцати процентов расстояния межд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у нормальным подпорным уровнем и форсированным подпорным уровнем.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168" w:after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3. Выявление должностным лицом Ростехнадзора факта понижения уровня воды в водохранилище, образованном гидротехническим сооружением III или IV класса, на величину более 90 процентов расстояния между нормальным подпорным уровнем и уровнем мертвого объема, 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становленными проектной документацией для данного гидротехнического сооружения.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168" w:after="0" w:line="240" w:lineRule="auto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4. Выявление должностным лицом Ростехнадзора факта смены эксплуатирующей гидротехническое сооружение организации и непоступление от новой эксплуатирующей гидротехническое сооружение организации в Ростехнадзор либо его территориальный орган заявления о пров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едении преддекларационного обследования гидротехнического сооружения в течение трех месяцев с даты смены эксплуатирующей гидротехническое сооружение организации.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spacing w:after="0" w:line="240" w:lineRule="auto"/>
        <w:rPr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u w:val="none"/>
          <w:lang w:val="ru-RU"/>
        </w:rPr>
        <w:t xml:space="preserve">Федеральный государственный контроль( надзор)  в области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</w:t>
      </w:r>
      <w:r>
        <w:rPr>
          <w:sz w:val="24"/>
          <w:szCs w:val="24"/>
          <w:u w:val="none"/>
        </w:rPr>
      </w:r>
      <w:r>
        <w:rPr>
          <w:sz w:val="24"/>
          <w:szCs w:val="24"/>
          <w:u w:val="none"/>
        </w:rPr>
      </w:r>
    </w:p>
    <w:p>
      <w:pPr>
        <w:jc w:val="both"/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Ростехнадзора от 17.02.2023 N 72 (ред. от 15.10.2024)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</w:t>
      </w:r>
      <w:r>
        <w:rPr>
          <w:rFonts w:ascii="Times New Roman" w:hAnsi="Times New Roman" w:cs="Times New Roman"/>
          <w:sz w:val="24"/>
          <w:szCs w:val="24"/>
        </w:rPr>
        <w:t xml:space="preserve">Об утверждении перечня индикаторов риска нарушения обязательных требований, используемых при осуществлении Федеральной службой по экологическому, технологическому и атомному надзору и ее территориальными органами федерального государственного контроля (над</w:t>
      </w:r>
      <w:r>
        <w:rPr>
          <w:rFonts w:ascii="Times New Roman" w:hAnsi="Times New Roman" w:cs="Times New Roman"/>
          <w:sz w:val="24"/>
          <w:szCs w:val="24"/>
        </w:rPr>
        <w:t xml:space="preserve">зора) в области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метрополитенах"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168" w:after="0" w:line="240" w:lineRule="auto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1. Отсутствие сведений о выводе отработавшего назначенный срок службы &lt;1&gt; лифта, подъемной платформы для инвалидов, пассажирского конвейера (движущейся пешеходной дорожки) или эскалатора, за исключением эскалаторов в метрополитенах (далее - опасное техниче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ское устройство здания и сооружения), из эксплуатации (за исключением устройств, установленных в многоквартирных домах), свидетельствующих о прекращении его использования в связи с демонтажем или с целью последующего проведения модернизации, более 30 кален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дарных дней с даты истечения назначенного срока службы соответствующего устройства.</w:t>
        <w:br/>
      </w:r>
      <w:r>
        <w:rPr>
          <w:szCs w:val="24"/>
        </w:rPr>
      </w:r>
      <w:r>
        <w:rPr>
          <w:szCs w:val="24"/>
        </w:rPr>
      </w:r>
    </w:p>
    <w:p>
      <w:pPr>
        <w:ind w:left="0" w:right="0" w:firstLine="540"/>
        <w:jc w:val="both"/>
        <w:spacing w:before="0" w:after="0" w:line="240" w:lineRule="auto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2. Отсутствие в реестре опасных технических устройств здания и сооружения &lt;2&gt; сведений об опасном техническом устройстве здания и сооружения, установленном на объекте капитального строительства, более 20 рабочих дней со дня ввода такого объекта капитальног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 строительства в эксплуатацию.</w:t>
      </w:r>
      <w:r>
        <w:rPr>
          <w:szCs w:val="24"/>
        </w:rPr>
      </w:r>
      <w:r>
        <w:rPr>
          <w:szCs w:val="24"/>
        </w:rPr>
      </w:r>
    </w:p>
    <w:p>
      <w:pPr>
        <w:ind w:left="0" w:righ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3. Отсутствие сведений о выводе отработавшего назначенный срок службы </w:t>
      </w:r>
      <w:hyperlink r:id="rId47" w:tooltip="file:///C:/Program%20Files/R7-Office/Editors/editors/web-apps/apps/documenteditor/main/index.html?_dc=0&amp;lang=ru-RU&amp;frameEditorId=placeholder&amp;parentOrigin=file://#p3" w:history="1">
        <w:r>
          <w:rPr>
            <w:rStyle w:val="815"/>
            <w:rFonts w:ascii="Times New Roman" w:hAnsi="Times New Roman" w:eastAsia="Times New Roman" w:cs="Times New Roman"/>
            <w:color w:val="0000ff"/>
            <w:sz w:val="24"/>
            <w:szCs w:val="24"/>
            <w:u w:val="none"/>
          </w:rPr>
          <w:t xml:space="preserve">&lt;1&gt;</w:t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и установленного в многоквартирном доме опасного технического устройства здания и сооружения из эксплуатации, свидетельствующих о прекращении его использования в связи с демонтажем или с целью последующего проведения модернизации, более 30 календарных дне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й с даты истечения назначенного срока службы соответствующего устройства.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ind w:left="0" w:right="0" w:firstLine="540"/>
        <w:jc w:val="both"/>
        <w:spacing w:before="168" w:after="0" w:line="240" w:lineRule="auto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4. Поступление в Федеральную службу по экологическому, технологическому и атомному надзору и (или) ее территориальные органы трех и более обращений граждан, содержащих сведения об увеличенной нагрузке на лифт в связи с выводом из эксплуатации иных лифтов,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размещенных в одном подъезде многоквартирного дома, в течение 6 месяцев подряд со дня поступления первого из таких обращений.</w:t>
      </w:r>
      <w:r>
        <w:rPr>
          <w:szCs w:val="24"/>
        </w:rPr>
      </w:r>
      <w:r>
        <w:rPr>
          <w:szCs w:val="24"/>
        </w:rPr>
      </w:r>
    </w:p>
    <w:p>
      <w:pPr>
        <w:ind w:left="0" w:right="0" w:firstLine="540"/>
        <w:jc w:val="both"/>
        <w:spacing w:before="168" w:after="0" w:line="240" w:lineRule="auto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5. Поступление в Федеральную службу по экологическому, технологическому и атомному надзору и (или) ее территориальные органы двух и более обращений граждан, организаций, органов государственной власти, органов местного самоуправления, содержащих сведения 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б эксплуатации лифта при указании одного из следующих фактов: подтеки масла в кабине, нарушение ритма и (или) равномерности движения кабины (в том числе рывки, резкое ускорение), непреднамеренные удары при движении кабины, горизонтальное покачивание кабины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в течение месяца со дня поступления первого из таких обращений.</w:t>
      </w:r>
      <w:r>
        <w:rPr>
          <w:szCs w:val="24"/>
        </w:rPr>
      </w:r>
      <w:r>
        <w:rPr>
          <w:szCs w:val="24"/>
        </w:rPr>
      </w:r>
    </w:p>
    <w:p>
      <w:pPr>
        <w:jc w:val="both"/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spacing w:after="0" w:line="240" w:lineRule="auto"/>
        <w:rPr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 xml:space="preserve">  </w:t>
      </w:r>
      <w:r>
        <w:rPr>
          <w:rFonts w:ascii="Times New Roman" w:hAnsi="Times New Roman" w:cs="Times New Roman"/>
          <w:b/>
          <w:u w:val="none"/>
          <w:lang w:val="ru-RU"/>
        </w:rPr>
        <w:t xml:space="preserve">Федеральный государственный лицензионный контроля (надзора) за деятельностью, связанной с обращением взрывчатых материалов промышленного назначения</w:t>
      </w:r>
      <w:r>
        <w:rPr>
          <w:rFonts w:ascii="Times New Roman" w:hAnsi="Times New Roman" w:cs="Times New Roman"/>
          <w:sz w:val="24"/>
          <w:szCs w:val="24"/>
          <w:u w:val="none"/>
        </w:rPr>
        <w:t xml:space="preserve">  </w:t>
      </w:r>
      <w:r>
        <w:rPr>
          <w:sz w:val="24"/>
          <w:szCs w:val="24"/>
          <w:u w:val="none"/>
        </w:rPr>
      </w:r>
      <w:r>
        <w:rPr>
          <w:sz w:val="24"/>
          <w:szCs w:val="24"/>
          <w:u w:val="none"/>
        </w:rPr>
      </w:r>
    </w:p>
    <w:p>
      <w:pPr>
        <w:jc w:val="both"/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Ростехнадзора от 20.06.2023 N 227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</w:t>
      </w:r>
      <w:r>
        <w:rPr>
          <w:rFonts w:ascii="Times New Roman" w:hAnsi="Times New Roman" w:cs="Times New Roman"/>
          <w:sz w:val="24"/>
          <w:szCs w:val="24"/>
        </w:rPr>
        <w:t xml:space="preserve">Об утверждении перечня индикаторов риска нарушения обязательных требований, используемых для осуществления федерального государственного лицензионного контроля (надзора) за деятельностью, связанной с обращением взрывчатых материалов промышленного назначени</w:t>
      </w:r>
      <w:r>
        <w:rPr>
          <w:rFonts w:ascii="Times New Roman" w:hAnsi="Times New Roman" w:cs="Times New Roman"/>
          <w:sz w:val="24"/>
          <w:szCs w:val="24"/>
        </w:rPr>
        <w:t xml:space="preserve">я"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0" w:after="0" w:line="240" w:lineRule="auto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1. Поступление в Ростехнадзор заявления о предоставлении лицензии (внесении изменений в реестр лицензий), содержащего информацию о работнике соискателя лицензии (лицензиата) &lt;1&gt;, который является ответственным за осуществление лицензируемого вида деятельно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сти в двух и более организациях.</w:t>
        <w:br/>
      </w:r>
      <w:r>
        <w:rPr>
          <w:szCs w:val="24"/>
        </w:rPr>
      </w:r>
      <w:r>
        <w:rPr>
          <w:szCs w:val="24"/>
        </w:rPr>
      </w:r>
    </w:p>
    <w:p>
      <w:pPr>
        <w:ind w:left="0" w:right="0" w:firstLine="540"/>
        <w:jc w:val="both"/>
        <w:spacing w:before="0" w:after="0" w:line="240" w:lineRule="auto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2. Поступление в территориальный орган Ростехнадзора заявления от лицензиата на получение разрешения на ведение работ со взрывчатыми материалами промышленного назначения, содержащего информацию о работнике, осуществляющем руководство взрывными работами, в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случае если такой работник заявлен как руководитель взрывных работ в действующем разрешении на ведение взрывных работ, полученном иным лицензиатом, при отсутствии заявления о переоформлении такого разрешения.</w:t>
      </w:r>
      <w:r>
        <w:rPr>
          <w:szCs w:val="24"/>
        </w:rPr>
      </w:r>
      <w:r>
        <w:rPr>
          <w:szCs w:val="24"/>
        </w:rPr>
      </w:r>
    </w:p>
    <w:p>
      <w:pPr>
        <w:ind w:left="0" w:right="0" w:firstLine="540"/>
        <w:jc w:val="both"/>
        <w:spacing w:before="168" w:after="0" w:line="240" w:lineRule="auto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3. Отсутствие в течение календарного года со дня предоставления лицензии или со дня окончания срока действия имеющегося разрешения на ведение работ со взрывчатыми материалами промышленного назначения поступивших от лицензиата, осуществляющего применение вз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рывчатых материалов промышленного назначения (в качестве вида работ, составляющего лицензируемый вид деятельности), заявлений о получении разрешения на ведение работ со взрывчатыми материалами промышленного назначения.</w:t>
      </w:r>
      <w:r>
        <w:rPr>
          <w:szCs w:val="24"/>
        </w:rPr>
      </w:r>
      <w:r>
        <w:rPr>
          <w:szCs w:val="24"/>
        </w:rPr>
      </w:r>
    </w:p>
    <w:p>
      <w:pPr>
        <w:ind w:left="0" w:right="0" w:firstLine="540"/>
        <w:jc w:val="both"/>
        <w:spacing w:before="168" w:after="0" w:line="240" w:lineRule="auto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4. Поступление в соответствии с порядком проведения технического расследования причин аварий, установленным согласно </w:t>
      </w:r>
      <w:hyperlink r:id="rId48" w:tooltip="https://login.consultant.ru/link/?req=doc&amp;base=LAW&amp;n=466788&amp;dst=16&amp;field=134&amp;date=17.02.2025" w:history="1">
        <w:r>
          <w:rPr>
            <w:rStyle w:val="815"/>
            <w:rFonts w:ascii="Times New Roman" w:hAnsi="Times New Roman" w:eastAsia="Times New Roman" w:cs="Times New Roman"/>
            <w:color w:val="0000ff"/>
            <w:sz w:val="24"/>
            <w:szCs w:val="24"/>
            <w:u w:val="none"/>
          </w:rPr>
          <w:t xml:space="preserve">пункту 8 статьи 12</w:t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Федерального закона от 21 июля 1997 г. N 116-ФЗ "О промышленной безопасности опасных производственных объектов", информации о трех и более инцидентах, произошедших на опасных производственных объектах при осуществлении лицензиатом деятельности, связанной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 обращением взрывчатых материалов промышленного назначения, в течение одного календарного года в случае, если такие инциденты не привели к причинению вреда (ущерба) охраняемым законом ценностям &lt;2&gt; (при условии, что по факту поступления указанной информац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ии не проводилось контрольное (надзорное) мероприятие в отношении лицензиата, эксплуатирующего опасный производственный объект, в рамках федерального государственного надзора в области промышленной безопасности).</w:t>
      </w:r>
      <w:r>
        <w:rPr>
          <w:szCs w:val="24"/>
        </w:rPr>
      </w:r>
      <w:r>
        <w:rPr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u w:val="none"/>
          <w:lang w:val="ru-RU"/>
        </w:rPr>
        <w:t xml:space="preserve">Федеральный государственный лицензионный контроля (надзора) за деятельностью, связанной с обращением взрывчатых материалов промышленного назначения</w:t>
      </w:r>
      <w:r>
        <w:rPr>
          <w:rFonts w:ascii="Times New Roman" w:hAnsi="Times New Roman" w:cs="Times New Roman"/>
          <w:sz w:val="24"/>
          <w:szCs w:val="24"/>
          <w:highlight w:val="none"/>
          <w:u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Ростехнадзора от 13.07.2023 N 252</w:t>
      </w:r>
      <w:r>
        <w:rPr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both"/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"Об утверждении перечня индикаторов риска нарушения обязательных требований, используемых для осуществления федерального государственного лицензионного контроля (надзора) за производством маркшейдерских работ"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0" w:after="0" w:line="240" w:lineRule="auto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1. Факт предоставления пользователем недр (лицензиатом) плана и (или) схемы развития горных работ (пояснительной записки к плану и (или) схеме развития горных работ) (далее - ПРГР), содержащих сведения о специалисте, состоящем у этого пользователя недр (ли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цензиата) в должности главного маркшейдера организации, при наличии в представленной (в течение 90 календарных дней с даты предоставления ПРГР) иным пользователем недр (лицензиатом) документации сведений о том же специалисте, состоящем у него в должности 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лавного маркшейдера организации.</w:t>
        <w:br/>
      </w:r>
      <w:r>
        <w:rPr>
          <w:szCs w:val="24"/>
        </w:rPr>
      </w:r>
      <w:r>
        <w:rPr>
          <w:szCs w:val="24"/>
        </w:rPr>
      </w:r>
    </w:p>
    <w:p>
      <w:pPr>
        <w:ind w:left="0" w:right="0" w:firstLine="540"/>
        <w:jc w:val="both"/>
        <w:spacing w:before="168" w:after="0" w:line="240" w:lineRule="auto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2. Поступление в лицензирующий орган заявления о предоставлении лицензии (внесении изменений в реестр лицензий) на производство маркшейдерских работ от соискателя лицензии (лицензиата), технические средства измерений и оборудование для обработки результато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 измерений и средств измерений которого, необходимые для производства маркшейдерских работ, принадлежат на праве собственности или ином законном основании иному лицензиату (при условии отсутствия в лицензирующем органе направленного таким лицензиатом заяв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ления о внесении изменений в реестр лицензий производства маркшейдерских работ в связи с прекращением деятельности по производству маркшейдерских работ).</w:t>
      </w:r>
      <w:r>
        <w:rPr>
          <w:szCs w:val="24"/>
        </w:rPr>
      </w:r>
      <w:r>
        <w:rPr>
          <w:szCs w:val="24"/>
        </w:rPr>
      </w:r>
    </w:p>
    <w:p>
      <w:pPr>
        <w:ind w:left="0" w:right="0" w:firstLine="540"/>
        <w:jc w:val="both"/>
        <w:spacing w:before="168" w:after="0" w:line="240" w:lineRule="auto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3. Поступление в лицензирующий орган от соискателя лицензии (лицензиата) заявления о предоставлении лицензии на производство маркшейдерских работ (о внесении изменений в реестр лицензий), содержащего сведения о работнике на должности главного маркшейдера 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рганизации, который ранее был заявлен как работник на должности главного маркшейдера организации иного лицензиата, при условии отсутствия в лицензирующем органе сведений о назначении иного работника на должность главного маркшейдера организации у лицензиат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а либо заявления о прекращении деятельности по производству маркшейдерских работ.</w:t>
      </w:r>
      <w:r>
        <w:rPr>
          <w:szCs w:val="24"/>
        </w:rPr>
      </w:r>
      <w:r>
        <w:rPr>
          <w:szCs w:val="24"/>
        </w:rPr>
      </w:r>
    </w:p>
    <w:p>
      <w:pPr>
        <w:ind w:left="0" w:right="0" w:firstLine="540"/>
        <w:jc w:val="both"/>
        <w:spacing w:before="168" w:after="0" w:line="240" w:lineRule="auto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4. Отсутствие в пояснительной записке плана и (или) схемы развития горных работ пользователя недр (лицензиата), представленной в лицензирующий орган, сведений о специалистах маркшейдерской службы пользователя недр (лицензиата) и (или) специалистах, осущест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вляющих маркшейдерские работы по договору с пользователем недр (лицензиатом), а также сведений об их образовании, квалификации, повышении квалификации, аттестации по промышленной безопасности, общем стаже работы по специальности &lt;1&gt;.</w:t>
      </w:r>
      <w:r>
        <w:rPr>
          <w:szCs w:val="24"/>
        </w:rPr>
      </w:r>
      <w:r>
        <w:rPr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  <w:u w:val="none"/>
        </w:rPr>
      </w:pPr>
      <w:r>
        <w:rPr>
          <w:rFonts w:ascii="Times New Roman" w:hAnsi="Times New Roman" w:cs="Times New Roman"/>
          <w:sz w:val="24"/>
          <w:szCs w:val="24"/>
          <w:highlight w:val="none"/>
          <w:u w:val="none"/>
        </w:rPr>
      </w:r>
      <w:r>
        <w:rPr>
          <w:rFonts w:ascii="Times New Roman" w:hAnsi="Times New Roman" w:cs="Times New Roman"/>
          <w:b/>
          <w:u w:val="none"/>
          <w:lang w:val="ru-RU"/>
        </w:rPr>
        <w:t xml:space="preserve">Федеральный государственный горный надзор</w:t>
      </w:r>
      <w:r>
        <w:rPr>
          <w:rFonts w:ascii="Times New Roman" w:hAnsi="Times New Roman" w:cs="Times New Roman"/>
          <w:sz w:val="24"/>
          <w:szCs w:val="24"/>
          <w:highlight w:val="none"/>
          <w:u w:val="none"/>
        </w:rPr>
      </w:r>
      <w:r>
        <w:rPr>
          <w:rFonts w:ascii="Times New Roman" w:hAnsi="Times New Roman" w:cs="Times New Roman"/>
          <w:sz w:val="24"/>
          <w:szCs w:val="24"/>
          <w:highlight w:val="none"/>
          <w:u w:val="none"/>
        </w:rPr>
      </w:r>
    </w:p>
    <w:p>
      <w:pPr>
        <w:jc w:val="both"/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Ростехнадзора от 22.06.2023 N 231</w:t>
      </w:r>
      <w:r>
        <w:rPr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both"/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"Об утверждении перечня индикаторов риска нарушения обязательных требований, используемых при осуществлении федерального государственного горного надзора"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0" w:after="0" w:line="240" w:lineRule="auto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1. Выявление органом государственного горного надзора по истечении 2-х месяцев со дня начала разработки месторождения, указанного в лицензии на пользование недрами, факта отсутствия планов развития горных работ при наличии у юридического лица, индивидуальн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ого предпринимателя лицензии на пользование недрами в пределах данного месторождения в случае, если обязанность по использованию участка недр в течение срока, предусмотренного для разработки данного месторождения, установлена проектной документацией на раз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работку месторождения.</w:t>
        <w:br/>
      </w:r>
      <w:r>
        <w:rPr>
          <w:szCs w:val="24"/>
        </w:rPr>
      </w:r>
      <w:r>
        <w:rPr>
          <w:szCs w:val="24"/>
        </w:rPr>
      </w:r>
    </w:p>
    <w:p>
      <w:pPr>
        <w:ind w:left="0" w:right="0" w:firstLine="540"/>
        <w:jc w:val="both"/>
        <w:spacing w:before="168" w:after="0" w:line="240" w:lineRule="auto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2. Непоступление от пользователя недр в орган государственного горного надзора заявления на переоформление документов, удостоверяющих уточненные границы горного отвода, по истечении 90 дней с даты внесения изменений в соответствующую лицензию по основаниям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изменения границ участка недр.</w:t>
      </w:r>
      <w:r>
        <w:rPr>
          <w:szCs w:val="24"/>
        </w:rPr>
      </w:r>
      <w:r>
        <w:rPr>
          <w:szCs w:val="24"/>
        </w:rPr>
      </w:r>
    </w:p>
    <w:p>
      <w:pPr>
        <w:ind w:left="0" w:right="0" w:firstLine="540"/>
        <w:jc w:val="both"/>
        <w:spacing w:before="168" w:after="0" w:line="240" w:lineRule="auto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3. Непоступление от пользователя недр в орган государственного горного надзора заявления о согласовании планов и схем развития горных работ вне графика в соответствии с </w:t>
      </w:r>
      <w:hyperlink r:id="rId49" w:tooltip="https://login.consultant.ru/link/?req=doc&amp;base=LAW&amp;n=471235&amp;dst=100027&amp;field=134&amp;date=17.02.2025" w:history="1">
        <w:r>
          <w:rPr>
            <w:rStyle w:val="815"/>
            <w:rFonts w:ascii="Times New Roman" w:hAnsi="Times New Roman" w:eastAsia="Times New Roman" w:cs="Times New Roman"/>
            <w:color w:val="0000ff"/>
            <w:sz w:val="24"/>
            <w:szCs w:val="24"/>
            <w:u w:val="none"/>
          </w:rPr>
          <w:t xml:space="preserve">абзацем третьим пункта 13</w:t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Правил подготовки, рассмотрения и согласования планов и схем развития горных работ по видам полезных ископаемых, утвержденных постановлением Правительства Российской Федерации от 16 сентября 2020 г. N 1466, по истечении 90 календарных дней с даты получени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я лицензии на пользование недрами.</w:t>
      </w:r>
      <w:r>
        <w:rPr>
          <w:szCs w:val="24"/>
        </w:rPr>
      </w:r>
      <w:r>
        <w:rPr>
          <w:szCs w:val="24"/>
        </w:rPr>
      </w:r>
    </w:p>
    <w:p>
      <w:pPr>
        <w:ind w:left="0" w:right="0" w:firstLine="540"/>
        <w:jc w:val="both"/>
        <w:spacing w:before="168" w:after="0" w:line="240" w:lineRule="auto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4. Увеличение за календарный год объема добычи полезных ископаемых на величину, отличающуюся более чем на 30% от установленной в плане развития горных работ, при условии наличия действующей лицензии на пользование недрами, изменения в которую не вносились,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и отсутствия ранее поданного заявления о внесении изменений (дополнений) в план развития горных работ.</w:t>
      </w:r>
      <w:r>
        <w:rPr>
          <w:szCs w:val="24"/>
        </w:rPr>
      </w:r>
      <w:r>
        <w:rPr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540"/>
        <w:jc w:val="lef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</w:rPr>
        <w:t xml:space="preserve">Федеральный государственный лицензионный контроль за деятельностью по проведению экспертизы промышленной безопасности</w:t>
      </w:r>
      <w:r>
        <w:rPr>
          <w:rFonts w:ascii="Times New Roman" w:hAnsi="Times New Roman" w:eastAsia="Times New Roman" w:cs="Times New Roman"/>
          <w:color w:val="000000"/>
          <w:sz w:val="24"/>
        </w:rPr>
        <w:br/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Ростехнадзора от 17.05.2023 N 185</w:t>
      </w:r>
      <w:r>
        <w:rPr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both"/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"Об утверждении перечня индикаторов риска нарушения обязательных требований, используемых для осуществления федерального государственного лицензионного контроля за деятельностью по проведению экспертизы промышленной безопасности"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0" w:after="0" w:line="240" w:lineRule="auto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1. Трехкратный и более рост количества заключений экспертизы промышленной безопасности, внесенных в реестр заключений экспертизы промышленной безопасности (далее - Реестр), предусмотренный </w:t>
      </w:r>
      <w:hyperlink r:id="rId50" w:tooltip="https://login.consultant.ru/link/?req=doc&amp;base=LAW&amp;n=466788&amp;dst=367&amp;field=134&amp;date=17.02.2025" w:history="1">
        <w:r>
          <w:rPr>
            <w:rStyle w:val="815"/>
            <w:rFonts w:ascii="Times New Roman" w:hAnsi="Times New Roman" w:eastAsia="Times New Roman" w:cs="Times New Roman"/>
            <w:color w:val="0000ff"/>
            <w:sz w:val="24"/>
            <w:szCs w:val="24"/>
            <w:u w:val="none"/>
          </w:rPr>
          <w:t xml:space="preserve">абзацем первым пункта 7 статьи 13</w:t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Федерального закона от 21 июля 1997 г. N 116-ФЗ "О промышленной безопасности опасных производственных объектов" (далее - Федеральный закон N 116-ФЗ), за календарный год по сравнению с аналогичным предыдущим периодом при условии отсутствия изменений в зако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нодательстве Российской Федерации в области промышленной безопасности, способствующих увеличению количества объектов экспертизы промышленной безопасности.</w:t>
        <w:br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       </w:t>
      </w:r>
      <w:r>
        <w:rPr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2. Наличие в Реестре информации о двух и более решениях об отказе во внесении в Реестр, принятых в отношении заключений экспертизы промышленной безопасности, подготовленных одной экспертной организацией за 6 месяцев (при условии, что указанные решения не б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ыли обжалованы с принятием по результатам рассмотрения соответствующих жалоб решений об их удовлетворении в соответствии с </w:t>
      </w:r>
      <w:hyperlink r:id="rId51" w:tooltip="https://login.consultant.ru/link/?req=doc&amp;base=LAW&amp;n=300316&amp;dst=12&amp;field=134&amp;date=17.02.2025" w:history="1">
        <w:r>
          <w:rPr>
            <w:rStyle w:val="815"/>
            <w:rFonts w:ascii="Times New Roman" w:hAnsi="Times New Roman" w:eastAsia="Times New Roman" w:cs="Times New Roman"/>
            <w:color w:val="0000ff"/>
            <w:sz w:val="24"/>
            <w:szCs w:val="24"/>
            <w:u w:val="none"/>
          </w:rPr>
          <w:t xml:space="preserve">Правилами</w:t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работников, утвержденными постановлением Правительства Российской Федерации от 16 авгу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ста 2012 г. N 840), по одному из следующих оснований:</w:t>
      </w: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ind w:left="0" w:right="0" w:firstLine="540"/>
        <w:jc w:val="both"/>
        <w:spacing w:before="168" w:after="0" w:line="240" w:lineRule="auto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представление в составе комплекта заявительных документов заключения экспертизы промышленной безопасности, подписанного экспертом (экспертами), не аттестованным (не аттестованными) в соответствии с </w:t>
      </w:r>
      <w:hyperlink r:id="rId52" w:tooltip="https://login.consultant.ru/link/?req=doc&amp;base=LAW&amp;n=471409&amp;dst=100013&amp;field=134&amp;date=17.02.2025" w:history="1">
        <w:r>
          <w:rPr>
            <w:rStyle w:val="815"/>
            <w:rFonts w:ascii="Times New Roman" w:hAnsi="Times New Roman" w:eastAsia="Times New Roman" w:cs="Times New Roman"/>
            <w:color w:val="0000ff"/>
            <w:sz w:val="24"/>
            <w:szCs w:val="24"/>
            <w:u w:val="none"/>
          </w:rPr>
          <w:t xml:space="preserve">Положением</w:t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об аттестации экспертов в области промышленной безопасности, утвержденным постановлением Правительства Российской Федерации от 2 июня 2022 г. N 1009, или прошедшим (прошедшими) такую аттестацию, но имеющим (имеющими) квалификационное удостоверение эксперт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а (квалификационные удостоверения экспертов) в области промышленной безопасности по области (областям) аттестации экспертов в области промышленной безопасности, действие которой (которых) не распространяется на объект экспертизы промышленной безопасности,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и (или) являющимся (являющимися) экспертом (экспертами) в области промышленной безопасности иной категории &lt;1&gt;;</w:t>
      </w:r>
      <w:r>
        <w:rPr>
          <w:szCs w:val="24"/>
        </w:rPr>
      </w:r>
      <w:r>
        <w:rPr>
          <w:szCs w:val="24"/>
        </w:rPr>
      </w:r>
    </w:p>
    <w:p>
      <w:pPr>
        <w:ind w:left="0" w:right="0" w:firstLine="0"/>
        <w:jc w:val="both"/>
        <w:spacing w:before="0" w:after="0" w:line="240" w:lineRule="auto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 </w:t>
      </w:r>
      <w:r>
        <w:rPr>
          <w:szCs w:val="24"/>
        </w:rPr>
      </w:r>
      <w:r>
        <w:rPr>
          <w:szCs w:val="24"/>
        </w:rPr>
      </w:r>
    </w:p>
    <w:p>
      <w:pPr>
        <w:ind w:left="0" w:right="0" w:firstLine="540"/>
        <w:jc w:val="both"/>
        <w:spacing w:before="0" w:after="0" w:line="240" w:lineRule="auto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представление в составе комплекта заявительных документов заключения экспертизы промышленной безопасности, проведенной не в отношении объектов экспертизы, установленных </w:t>
      </w:r>
      <w:hyperlink r:id="rId53" w:tooltip="https://login.consultant.ru/link/?req=doc&amp;base=LAW&amp;n=466788&amp;dst=132&amp;field=134&amp;date=17.02.2025" w:history="1">
        <w:r>
          <w:rPr>
            <w:rStyle w:val="815"/>
            <w:rFonts w:ascii="Times New Roman" w:hAnsi="Times New Roman" w:eastAsia="Times New Roman" w:cs="Times New Roman"/>
            <w:color w:val="0000ff"/>
            <w:sz w:val="24"/>
            <w:szCs w:val="24"/>
            <w:u w:val="none"/>
          </w:rPr>
          <w:t xml:space="preserve">пунктом 1 статьи 13</w:t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Федерального закона N 116-ФЗ &lt;2&gt;.</w:t>
      </w:r>
      <w:r>
        <w:rPr>
          <w:szCs w:val="24"/>
        </w:rPr>
      </w:r>
      <w:r>
        <w:rPr>
          <w:szCs w:val="24"/>
        </w:rPr>
      </w:r>
    </w:p>
    <w:p>
      <w:pPr>
        <w:ind w:left="0" w:right="0" w:firstLine="0"/>
        <w:jc w:val="both"/>
        <w:spacing w:before="0" w:after="0" w:line="240" w:lineRule="auto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 </w:t>
      </w:r>
      <w:r>
        <w:rPr>
          <w:szCs w:val="24"/>
        </w:rPr>
      </w:r>
      <w:r>
        <w:rPr>
          <w:szCs w:val="24"/>
        </w:rPr>
      </w:r>
    </w:p>
    <w:p>
      <w:pPr>
        <w:ind w:left="0" w:right="0" w:firstLine="540"/>
        <w:jc w:val="both"/>
        <w:spacing w:before="0" w:after="0" w:line="240" w:lineRule="auto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3. Представление заявителем при предоставлении государственной услуги по лицензированию деятельности по проведению экспертизы промышленной безопасности в составе заявительных документов информации об эксперте в области промышленной безопасности, для которо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го работа в этой организации является основной, если сведения о нем были ранее представлены другой организацией, которой государственная услуга была предоставлена в течение 6 месяцев, предшествующих дате повторного представления информации об указанном экс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перте (применяется для лицензиата, ранее представившего сведения о таком эксперте в рамках подтверждения своего соответствия лицензионным требованиям, при условии представления лицензиатом сведений о наличии у него в штате минимально допустимого количества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экспертов в области промышленной безопасности, а также непроведения в отношении него контрольных (надзорных) мероприятий в указанный период).</w:t>
      </w:r>
      <w:r>
        <w:rPr>
          <w:szCs w:val="24"/>
        </w:rPr>
      </w:r>
      <w:r>
        <w:rPr>
          <w:szCs w:val="24"/>
        </w:rPr>
      </w:r>
    </w:p>
    <w:p>
      <w:pPr>
        <w:ind w:left="0" w:right="0" w:firstLine="540"/>
        <w:jc w:val="both"/>
        <w:spacing w:before="168" w:after="0" w:line="240" w:lineRule="auto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4. Отсутствие в Реестре заключений экспертизы промышленной безопасности, оформленных экспертной организацией в течение года после даты последнего внесения в Реестр заключения, оформленного данной организацией, или двух лет с даты предоставления ей лицензии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на осуществление соответствующего вида деятельности.</w:t>
      </w:r>
      <w:r>
        <w:rPr>
          <w:szCs w:val="24"/>
        </w:rPr>
      </w:r>
      <w:r>
        <w:rPr>
          <w:szCs w:val="24"/>
        </w:rPr>
      </w:r>
    </w:p>
    <w:p>
      <w:pPr>
        <w:ind w:left="0" w:right="0" w:firstLine="540"/>
        <w:jc w:val="both"/>
        <w:spacing w:before="168" w:after="0" w:line="240" w:lineRule="auto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5. Исключение территориальными органами Ростехнадзора в течение календарного года трех и более подготовленных экспертной организацией (лицензиатом) заключений экспертизы промышленной безопасности из Реестра по результатам рассмотрения представленных заказч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иком (заказчиками) экспертизы промышленной безопасности, осуществляющим (осуществляющими) деятельность в области промышленной безопасности, заявлений об исключении заключения экспертизы промышленной безопасности из Реестра, связанных с обнаружением несоотв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етствия таких заключений требованиям законодательства Российской Федерации &lt;3&gt;.</w:t>
      </w:r>
      <w:r>
        <w:rPr>
          <w:szCs w:val="24"/>
        </w:rPr>
      </w:r>
      <w:r>
        <w:rPr>
          <w:szCs w:val="24"/>
        </w:rPr>
      </w:r>
    </w:p>
    <w:p>
      <w:pPr>
        <w:ind w:left="0" w:right="0" w:firstLine="0"/>
        <w:jc w:val="both"/>
        <w:spacing w:before="0" w:after="0" w:line="240" w:lineRule="auto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 </w:t>
      </w:r>
      <w:r>
        <w:rPr>
          <w:szCs w:val="24"/>
        </w:rPr>
      </w:r>
      <w:r>
        <w:rPr>
          <w:szCs w:val="24"/>
        </w:rPr>
      </w:r>
    </w:p>
    <w:p>
      <w:pPr>
        <w:ind w:left="0" w:right="0" w:firstLine="540"/>
        <w:jc w:val="both"/>
        <w:spacing w:before="0" w:after="0" w:line="240" w:lineRule="auto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6. Фиксация должностным лицом Ростехнадзора факта аварии, произошедшей на опасном производственном объекте в связи с техническим состоянием объекта экспертизы промышленной безопасности (технического устройства, здания или сооружения), в отношении которого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экспертной организацией подготовлено заключение экспертизы промышленной безопасности, содержащее вывод о соответствии объекта экспертизы промышленной безопасности требованиям в области промышленной безопасности, при одновременном соблюдении следующих услов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ий:</w:t>
      </w:r>
      <w:r>
        <w:rPr>
          <w:szCs w:val="24"/>
        </w:rPr>
      </w:r>
      <w:r>
        <w:rPr>
          <w:szCs w:val="24"/>
        </w:rPr>
      </w:r>
    </w:p>
    <w:p>
      <w:pPr>
        <w:ind w:left="0" w:right="0" w:firstLine="540"/>
        <w:jc w:val="both"/>
        <w:spacing w:before="168" w:after="0" w:line="240" w:lineRule="auto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истечение не более трех лет с даты оформления данного заключения экспертизы промышленной безопасности;</w:t>
      </w:r>
      <w:r>
        <w:rPr>
          <w:szCs w:val="24"/>
        </w:rPr>
      </w:r>
      <w:r>
        <w:rPr>
          <w:szCs w:val="24"/>
        </w:rPr>
      </w:r>
    </w:p>
    <w:p>
      <w:pPr>
        <w:ind w:left="0" w:right="0" w:firstLine="540"/>
        <w:jc w:val="both"/>
        <w:spacing w:before="168" w:after="0" w:line="240" w:lineRule="auto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отсутствие в числе причин аварии, указанных в акте технического расследования причин аварии на опасном производственном объекте, нарушений организацией, эксплуатирующей объект экспертизы промышленной безопасности, указаний по его эксплуатации, предусмотрен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ных проектной, технической и эксплуатационной документацией, а также информации об изменении технического состояния такого объекта вследствие действий третьих лиц.</w:t>
      </w:r>
      <w:r>
        <w:rPr>
          <w:szCs w:val="24"/>
        </w:rPr>
      </w:r>
      <w:r>
        <w:rPr>
          <w:szCs w:val="24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3"/>
    <w:next w:val="833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4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3"/>
    <w:next w:val="833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4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3"/>
    <w:next w:val="833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4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3"/>
    <w:next w:val="833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4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3"/>
    <w:next w:val="833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4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3"/>
    <w:next w:val="833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4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3"/>
    <w:next w:val="833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4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3"/>
    <w:next w:val="833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4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3"/>
    <w:next w:val="833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4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3"/>
    <w:next w:val="833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4"/>
    <w:link w:val="675"/>
    <w:uiPriority w:val="10"/>
    <w:rPr>
      <w:sz w:val="48"/>
      <w:szCs w:val="48"/>
    </w:rPr>
  </w:style>
  <w:style w:type="paragraph" w:styleId="677">
    <w:name w:val="Subtitle"/>
    <w:basedOn w:val="833"/>
    <w:next w:val="833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4"/>
    <w:link w:val="677"/>
    <w:uiPriority w:val="11"/>
    <w:rPr>
      <w:sz w:val="24"/>
      <w:szCs w:val="24"/>
    </w:rPr>
  </w:style>
  <w:style w:type="paragraph" w:styleId="679">
    <w:name w:val="Quote"/>
    <w:basedOn w:val="833"/>
    <w:next w:val="833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3"/>
    <w:next w:val="833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3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4"/>
    <w:link w:val="683"/>
    <w:uiPriority w:val="99"/>
  </w:style>
  <w:style w:type="paragraph" w:styleId="685">
    <w:name w:val="Footer"/>
    <w:basedOn w:val="833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4"/>
    <w:link w:val="685"/>
    <w:uiPriority w:val="99"/>
  </w:style>
  <w:style w:type="paragraph" w:styleId="687">
    <w:name w:val="Caption"/>
    <w:basedOn w:val="833"/>
    <w:next w:val="833"/>
    <w:link w:val="68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834"/>
    <w:link w:val="687"/>
    <w:uiPriority w:val="35"/>
    <w:rPr>
      <w:b/>
      <w:bCs/>
      <w:color w:val="4f81bd" w:themeColor="accent1"/>
      <w:sz w:val="18"/>
      <w:szCs w:val="18"/>
    </w:rPr>
  </w:style>
  <w:style w:type="table" w:styleId="689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89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0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1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2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93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4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96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7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8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9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00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1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03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4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5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6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07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8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000ff" w:themeColor="hyperlink"/>
      <w:u w:val="single"/>
    </w:r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34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34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qFormat/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>
    <w:name w:val="List Paragraph"/>
    <w:basedOn w:val="833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login.consultant.ru/link/?req=doc&amp;base=LAW&amp;n=508514&amp;dst=3618&amp;field=134&amp;date=16.07.2025" TargetMode="External"/><Relationship Id="rId10" Type="http://schemas.openxmlformats.org/officeDocument/2006/relationships/hyperlink" Target="https://login.consultant.ru/link/?req=doc&amp;base=LAW&amp;n=508514&amp;dst=4576&amp;field=134&amp;date=16.07.2025" TargetMode="External"/><Relationship Id="rId11" Type="http://schemas.openxmlformats.org/officeDocument/2006/relationships/hyperlink" Target="https://login.consultant.ru/link/?req=doc&amp;base=LAW&amp;n=508514&amp;dst=4549&amp;field=134&amp;date=16.07.2025" TargetMode="External"/><Relationship Id="rId12" Type="http://schemas.openxmlformats.org/officeDocument/2006/relationships/hyperlink" Target="https://login.consultant.ru/link/?req=doc&amp;base=LAW&amp;n=508514&amp;dst=2910&amp;field=134&amp;date=16.07.2025" TargetMode="External"/><Relationship Id="rId13" Type="http://schemas.openxmlformats.org/officeDocument/2006/relationships/hyperlink" Target="https://login.consultant.ru/link/?req=doc&amp;base=LAW&amp;n=508514&amp;dst=3613&amp;field=134&amp;date=16.07.2025" TargetMode="External"/><Relationship Id="rId14" Type="http://schemas.openxmlformats.org/officeDocument/2006/relationships/hyperlink" Target="https://login.consultant.ru/link/?req=doc&amp;base=LAW&amp;n=508514&amp;date=16.07.2025" TargetMode="External"/><Relationship Id="rId15" Type="http://schemas.openxmlformats.org/officeDocument/2006/relationships/hyperlink" Target="https://login.consultant.ru/link/?req=doc&amp;base=LAW&amp;n=482721&amp;dst=100030&amp;field=134&amp;date=16.07.2025" TargetMode="External"/><Relationship Id="rId16" Type="http://schemas.openxmlformats.org/officeDocument/2006/relationships/hyperlink" Target="https://login.consultant.ru/link/?req=doc&amp;base=LAW&amp;n=493159&amp;dst=100011&amp;field=134&amp;date=16.07.2025" TargetMode="External"/><Relationship Id="rId17" Type="http://schemas.openxmlformats.org/officeDocument/2006/relationships/hyperlink" Target="file:///C:/Program%20Files/R7-Office/Editors/editors/web-apps/apps/documenteditor/main/index.html?_dc=0&amp;lang=ru-RU&amp;frameEditorId=placeholder&amp;parentOrigin=file://#p19" TargetMode="External"/><Relationship Id="rId18" Type="http://schemas.openxmlformats.org/officeDocument/2006/relationships/hyperlink" Target="https://login.consultant.ru/link/?req=doc&amp;base=LAW&amp;n=508514&amp;dst=3618&amp;field=134&amp;date=16.07.2025" TargetMode="External"/><Relationship Id="rId19" Type="http://schemas.openxmlformats.org/officeDocument/2006/relationships/hyperlink" Target="https://login.consultant.ru/link/?req=doc&amp;base=LAW&amp;n=508514&amp;dst=2521&amp;field=134&amp;date=16.07.2025" TargetMode="External"/><Relationship Id="rId20" Type="http://schemas.openxmlformats.org/officeDocument/2006/relationships/hyperlink" Target="https://login.consultant.ru/link/?req=doc&amp;base=LAW&amp;n=508514&amp;dst=3054&amp;field=134&amp;date=16.07.2025" TargetMode="External"/><Relationship Id="rId21" Type="http://schemas.openxmlformats.org/officeDocument/2006/relationships/hyperlink" Target="https://login.consultant.ru/link/?req=doc&amp;base=LAW&amp;n=389306&amp;dst=35&amp;field=134&amp;date=16.07.2025" TargetMode="External"/><Relationship Id="rId22" Type="http://schemas.openxmlformats.org/officeDocument/2006/relationships/hyperlink" Target="https://login.consultant.ru/link/?req=doc&amp;base=LAW&amp;n=389306&amp;dst=100103&amp;field=134&amp;date=16.07.2025" TargetMode="External"/><Relationship Id="rId23" Type="http://schemas.openxmlformats.org/officeDocument/2006/relationships/hyperlink" Target="https://login.consultant.ru/link/?req=doc&amp;base=LAW&amp;n=389306&amp;dst=100105&amp;field=134&amp;date=16.07.2025" TargetMode="External"/><Relationship Id="rId24" Type="http://schemas.openxmlformats.org/officeDocument/2006/relationships/hyperlink" Target="https://login.consultant.ru/link/?req=doc&amp;base=LAW&amp;n=389306&amp;dst=100106&amp;field=134&amp;date=16.07.2025" TargetMode="External"/><Relationship Id="rId25" Type="http://schemas.openxmlformats.org/officeDocument/2006/relationships/hyperlink" Target="https://login.consultant.ru/link/?req=doc&amp;base=LAW&amp;n=389306&amp;dst=100107&amp;field=134&amp;date=16.07.2025" TargetMode="External"/><Relationship Id="rId26" Type="http://schemas.openxmlformats.org/officeDocument/2006/relationships/hyperlink" Target="https://login.consultant.ru/link/?req=doc&amp;base=LAW&amp;n=508514&amp;dst=3618&amp;field=134&amp;date=16.07.2025" TargetMode="External"/><Relationship Id="rId27" Type="http://schemas.openxmlformats.org/officeDocument/2006/relationships/hyperlink" Target="https://kontur-event.ru/lp/extern-conf-buh-2025?utm_source=normativ&amp;utm_medium=banner_service_normativ&amp;utm_campaign=kbzhz24&amp;utm_content=doc" TargetMode="External"/><Relationship Id="rId28" Type="http://schemas.openxmlformats.org/officeDocument/2006/relationships/hyperlink" Target="https://login.consultant.ru/link/?req=doc&amp;base=LAW&amp;n=329233&amp;dst=100010&amp;field=134&amp;date=16.07.2025" TargetMode="External"/><Relationship Id="rId29" Type="http://schemas.openxmlformats.org/officeDocument/2006/relationships/hyperlink" Target="https://login.consultant.ru/link/?req=doc&amp;base=LAW&amp;n=41812&amp;dst=100011&amp;field=134&amp;date=16.07.2025" TargetMode="External"/><Relationship Id="rId30" Type="http://schemas.openxmlformats.org/officeDocument/2006/relationships/hyperlink" Target="https://login.consultant.ru/link/?req=doc&amp;base=LAW&amp;n=353238&amp;dst=100009&amp;field=134&amp;date=16.07.2025" TargetMode="External"/><Relationship Id="rId31" Type="http://schemas.openxmlformats.org/officeDocument/2006/relationships/hyperlink" Target="https://login.consultant.ru/link/?req=doc&amp;base=LAW&amp;n=329233&amp;dst=100010&amp;field=134&amp;date=16.07.2025" TargetMode="External"/><Relationship Id="rId32" Type="http://schemas.openxmlformats.org/officeDocument/2006/relationships/hyperlink" Target="https://login.consultant.ru/link/?req=doc&amp;base=LAW&amp;n=41812&amp;dst=100011&amp;field=134&amp;date=16.07.2025" TargetMode="External"/><Relationship Id="rId33" Type="http://schemas.openxmlformats.org/officeDocument/2006/relationships/hyperlink" Target="https://login.consultant.ru/link/?req=doc&amp;base=LAW&amp;n=353238&amp;dst=100009&amp;field=134&amp;date=16.07.2025" TargetMode="External"/><Relationship Id="rId34" Type="http://schemas.openxmlformats.org/officeDocument/2006/relationships/hyperlink" Target="https://login.consultant.ru/link/?req=doc&amp;base=LAW&amp;n=495459&amp;dst=47&amp;field=134&amp;date=16.07.2025" TargetMode="External"/><Relationship Id="rId35" Type="http://schemas.openxmlformats.org/officeDocument/2006/relationships/hyperlink" Target="https://login.consultant.ru/link/?req=doc&amp;base=LAW&amp;n=500388&amp;dst=1756&amp;field=134&amp;date=16.07.2025" TargetMode="External"/><Relationship Id="rId36" Type="http://schemas.openxmlformats.org/officeDocument/2006/relationships/hyperlink" Target="https://login.consultant.ru/link/?req=doc&amp;base=LAW&amp;n=500388&amp;dst=100009&amp;field=134&amp;date=16.07.2025" TargetMode="External"/><Relationship Id="rId37" Type="http://schemas.openxmlformats.org/officeDocument/2006/relationships/hyperlink" Target="https://login.consultant.ru/link/?req=doc&amp;base=LAW&amp;n=500388&amp;dst=1756&amp;field=134&amp;date=16.07.2025" TargetMode="External"/><Relationship Id="rId38" Type="http://schemas.openxmlformats.org/officeDocument/2006/relationships/hyperlink" Target="https://login.consultant.ru/link/?req=doc&amp;base=LAW&amp;n=500388&amp;dst=1756&amp;field=134&amp;date=16.07.2025" TargetMode="External"/><Relationship Id="rId39" Type="http://schemas.openxmlformats.org/officeDocument/2006/relationships/hyperlink" Target="https://login.consultant.ru/link/?req=doc&amp;base=LAW&amp;n=500388&amp;dst=1790&amp;field=134&amp;date=16.07.2025" TargetMode="External"/><Relationship Id="rId40" Type="http://schemas.openxmlformats.org/officeDocument/2006/relationships/hyperlink" Target="https://login.consultant.ru/link/?req=doc&amp;base=LAW&amp;n=495459&amp;dst=47&amp;field=134&amp;date=16.07.2025" TargetMode="External"/><Relationship Id="rId41" Type="http://schemas.openxmlformats.org/officeDocument/2006/relationships/hyperlink" Target="https://login.consultant.ru/link/?req=doc&amp;base=LAW&amp;n=500388&amp;dst=100009&amp;field=134&amp;date=16.07.2025" TargetMode="External"/><Relationship Id="rId42" Type="http://schemas.openxmlformats.org/officeDocument/2006/relationships/hyperlink" Target="https://login.consultant.ru/link/?req=doc&amp;base=LAW&amp;n=217471&amp;dst=100155&amp;field=134&amp;date=16.07.2025" TargetMode="External"/><Relationship Id="rId43" Type="http://schemas.openxmlformats.org/officeDocument/2006/relationships/hyperlink" Target="https://login.consultant.ru/link/?req=doc&amp;base=LAW&amp;n=497358&amp;dst=100023&amp;field=134&amp;date=16.07.2025" TargetMode="External"/><Relationship Id="rId44" Type="http://schemas.openxmlformats.org/officeDocument/2006/relationships/hyperlink" Target="https://login.consultant.ru/link/?req=doc&amp;base=LAW&amp;n=483176&amp;dst=16&amp;field=134&amp;date=16.07.2025" TargetMode="External"/><Relationship Id="rId45" Type="http://schemas.openxmlformats.org/officeDocument/2006/relationships/hyperlink" Target="https://login.consultant.ru/link/?req=doc&amp;base=LAW&amp;n=142907&amp;dst=100287&amp;field=134&amp;date=16.07.2025" TargetMode="External"/><Relationship Id="rId46" Type="http://schemas.openxmlformats.org/officeDocument/2006/relationships/hyperlink" Target="https://login.consultant.ru/link/?req=doc&amp;base=LAW&amp;n=470686&amp;dst=100028&amp;field=134&amp;date=17.02.2025" TargetMode="External"/><Relationship Id="rId47" Type="http://schemas.openxmlformats.org/officeDocument/2006/relationships/hyperlink" Target="file:///C:/Program%20Files/R7-Office/Editors/editors/web-apps/apps/documenteditor/main/index.html?_dc=0&amp;lang=ru-RU&amp;frameEditorId=placeholder&amp;parentOrigin=file://#p3" TargetMode="External"/><Relationship Id="rId48" Type="http://schemas.openxmlformats.org/officeDocument/2006/relationships/hyperlink" Target="https://login.consultant.ru/link/?req=doc&amp;base=LAW&amp;n=466788&amp;dst=16&amp;field=134&amp;date=17.02.2025" TargetMode="External"/><Relationship Id="rId49" Type="http://schemas.openxmlformats.org/officeDocument/2006/relationships/hyperlink" Target="https://login.consultant.ru/link/?req=doc&amp;base=LAW&amp;n=471235&amp;dst=100027&amp;field=134&amp;date=17.02.2025" TargetMode="External"/><Relationship Id="rId50" Type="http://schemas.openxmlformats.org/officeDocument/2006/relationships/hyperlink" Target="https://login.consultant.ru/link/?req=doc&amp;base=LAW&amp;n=466788&amp;dst=367&amp;field=134&amp;date=17.02.2025" TargetMode="External"/><Relationship Id="rId51" Type="http://schemas.openxmlformats.org/officeDocument/2006/relationships/hyperlink" Target="https://login.consultant.ru/link/?req=doc&amp;base=LAW&amp;n=300316&amp;dst=12&amp;field=134&amp;date=17.02.2025" TargetMode="External"/><Relationship Id="rId52" Type="http://schemas.openxmlformats.org/officeDocument/2006/relationships/hyperlink" Target="https://login.consultant.ru/link/?req=doc&amp;base=LAW&amp;n=471409&amp;dst=100013&amp;field=134&amp;date=17.02.2025" TargetMode="External"/><Relationship Id="rId53" Type="http://schemas.openxmlformats.org/officeDocument/2006/relationships/hyperlink" Target="https://login.consultant.ru/link/?req=doc&amp;base=LAW&amp;n=466788&amp;dst=132&amp;field=134&amp;date=17.02.202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*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В. Крушельницкая</dc:creator>
  <cp:lastModifiedBy>KKrushelnickaya</cp:lastModifiedBy>
  <cp:revision>5</cp:revision>
  <dcterms:created xsi:type="dcterms:W3CDTF">2024-07-29T06:22:00Z</dcterms:created>
  <dcterms:modified xsi:type="dcterms:W3CDTF">2025-07-16T06:55:30Z</dcterms:modified>
</cp:coreProperties>
</file>